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561B3" w14:textId="77777777" w:rsidR="00811147" w:rsidRDefault="00811147" w:rsidP="00811147">
      <w:pPr>
        <w:spacing w:before="95"/>
        <w:ind w:left="105"/>
        <w:rPr>
          <w:sz w:val="16"/>
        </w:rPr>
      </w:pPr>
      <w:bookmarkStart w:id="0" w:name="_q8b6blsj00hl" w:colFirst="0" w:colLast="0"/>
      <w:bookmarkEnd w:id="0"/>
      <w:r w:rsidRPr="00811147">
        <w:rPr>
          <w:rFonts w:ascii="Arial" w:hAnsi="Arial"/>
          <w:b/>
          <w:caps/>
          <w:color w:val="009FE4"/>
          <w:sz w:val="32"/>
          <w:szCs w:val="40"/>
          <w:lang w:bidi="de-DE"/>
        </w:rPr>
        <w:t xml:space="preserve">Checkliste: </w:t>
      </w:r>
      <w:r w:rsidR="00EC6FF0">
        <w:rPr>
          <w:rFonts w:ascii="Arial" w:hAnsi="Arial"/>
          <w:b/>
          <w:caps/>
          <w:color w:val="009FE4"/>
          <w:sz w:val="32"/>
          <w:szCs w:val="40"/>
          <w:lang w:bidi="de-DE"/>
        </w:rPr>
        <w:t>Rückkehrgespräche</w:t>
      </w:r>
    </w:p>
    <w:p w14:paraId="32020285" w14:textId="77777777" w:rsidR="00811147" w:rsidRDefault="00811147" w:rsidP="00811147">
      <w:pPr>
        <w:pStyle w:val="Textkrper"/>
        <w:spacing w:before="1"/>
        <w:rPr>
          <w:sz w:val="9"/>
        </w:rPr>
      </w:pPr>
    </w:p>
    <w:tbl>
      <w:tblPr>
        <w:tblStyle w:val="TableNormal"/>
        <w:tblW w:w="870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61"/>
        <w:gridCol w:w="6884"/>
        <w:gridCol w:w="696"/>
        <w:gridCol w:w="762"/>
      </w:tblGrid>
      <w:tr w:rsidR="00811147" w:rsidRPr="005A5989" w14:paraId="35F94FA6" w14:textId="77777777" w:rsidTr="00811147">
        <w:trPr>
          <w:trHeight w:val="439"/>
        </w:trPr>
        <w:tc>
          <w:tcPr>
            <w:tcW w:w="7245" w:type="dxa"/>
            <w:gridSpan w:val="2"/>
            <w:vMerge w:val="restart"/>
            <w:tcBorders>
              <w:top w:val="nil"/>
              <w:left w:val="nil"/>
            </w:tcBorders>
            <w:shd w:val="clear" w:color="auto" w:fill="4A4A4B"/>
          </w:tcPr>
          <w:p w14:paraId="122770C6" w14:textId="77777777" w:rsidR="00811147" w:rsidRPr="005A5989" w:rsidRDefault="00811147" w:rsidP="00811147">
            <w:pPr>
              <w:pStyle w:val="TableParagraph"/>
              <w:spacing w:before="43"/>
              <w:ind w:left="56"/>
              <w:rPr>
                <w:b/>
                <w:sz w:val="20"/>
                <w:lang w:val="de-DE"/>
              </w:rPr>
            </w:pPr>
            <w:r w:rsidRPr="005A5989">
              <w:rPr>
                <w:b/>
                <w:color w:val="FFFFFF"/>
                <w:sz w:val="20"/>
                <w:lang w:val="de-DE"/>
              </w:rPr>
              <w:t>Prüfpunkt</w:t>
            </w:r>
          </w:p>
        </w:tc>
        <w:tc>
          <w:tcPr>
            <w:tcW w:w="1458" w:type="dxa"/>
            <w:gridSpan w:val="2"/>
            <w:tcBorders>
              <w:top w:val="nil"/>
              <w:bottom w:val="nil"/>
              <w:right w:val="nil"/>
            </w:tcBorders>
            <w:shd w:val="clear" w:color="auto" w:fill="4A4A4B"/>
          </w:tcPr>
          <w:p w14:paraId="0E1E2836" w14:textId="77777777" w:rsidR="00811147" w:rsidRPr="005A5989" w:rsidRDefault="00811147" w:rsidP="0068358E">
            <w:pPr>
              <w:pStyle w:val="TableParagraph"/>
              <w:spacing w:before="43"/>
              <w:ind w:left="164"/>
              <w:rPr>
                <w:b/>
                <w:sz w:val="20"/>
                <w:lang w:val="de-DE"/>
              </w:rPr>
            </w:pPr>
            <w:r w:rsidRPr="005A5989">
              <w:rPr>
                <w:b/>
                <w:color w:val="FFFFFF"/>
                <w:sz w:val="20"/>
                <w:lang w:val="de-DE"/>
              </w:rPr>
              <w:t>Antwort</w:t>
            </w:r>
          </w:p>
        </w:tc>
      </w:tr>
      <w:tr w:rsidR="00811147" w:rsidRPr="005A5989" w14:paraId="7F691A77" w14:textId="77777777" w:rsidTr="00EC6FF0">
        <w:trPr>
          <w:trHeight w:val="426"/>
        </w:trPr>
        <w:tc>
          <w:tcPr>
            <w:tcW w:w="7245" w:type="dxa"/>
            <w:gridSpan w:val="2"/>
            <w:vMerge/>
            <w:tcBorders>
              <w:top w:val="nil"/>
              <w:left w:val="nil"/>
            </w:tcBorders>
            <w:shd w:val="clear" w:color="auto" w:fill="4A4A4B"/>
          </w:tcPr>
          <w:p w14:paraId="38715757" w14:textId="77777777" w:rsidR="00811147" w:rsidRPr="005A5989" w:rsidRDefault="00811147" w:rsidP="0068358E">
            <w:pPr>
              <w:rPr>
                <w:sz w:val="2"/>
                <w:szCs w:val="2"/>
                <w:lang w:val="de-DE"/>
              </w:rPr>
            </w:pPr>
          </w:p>
        </w:tc>
        <w:tc>
          <w:tcPr>
            <w:tcW w:w="696" w:type="dxa"/>
            <w:tcBorders>
              <w:top w:val="nil"/>
            </w:tcBorders>
            <w:shd w:val="clear" w:color="auto" w:fill="4A4A4B"/>
            <w:vAlign w:val="center"/>
          </w:tcPr>
          <w:p w14:paraId="6F307BBF" w14:textId="77777777" w:rsidR="00811147" w:rsidRPr="005A5989" w:rsidRDefault="00811147" w:rsidP="005A5989">
            <w:pPr>
              <w:pStyle w:val="TableParagraph"/>
              <w:spacing w:before="33"/>
              <w:ind w:left="47"/>
              <w:jc w:val="center"/>
              <w:rPr>
                <w:b/>
                <w:sz w:val="20"/>
                <w:lang w:val="de-DE"/>
              </w:rPr>
            </w:pPr>
            <w:r w:rsidRPr="005A5989">
              <w:rPr>
                <w:b/>
                <w:color w:val="FFFFFF"/>
                <w:sz w:val="20"/>
                <w:lang w:val="de-DE"/>
              </w:rPr>
              <w:t>Ja</w:t>
            </w:r>
          </w:p>
        </w:tc>
        <w:tc>
          <w:tcPr>
            <w:tcW w:w="762" w:type="dxa"/>
            <w:tcBorders>
              <w:top w:val="nil"/>
              <w:right w:val="nil"/>
            </w:tcBorders>
            <w:shd w:val="clear" w:color="auto" w:fill="4A4A4B"/>
            <w:vAlign w:val="center"/>
          </w:tcPr>
          <w:p w14:paraId="320831BE" w14:textId="77777777" w:rsidR="00811147" w:rsidRPr="005A5989" w:rsidRDefault="00811147" w:rsidP="005A5989">
            <w:pPr>
              <w:pStyle w:val="TableParagraph"/>
              <w:spacing w:before="33"/>
              <w:ind w:left="47"/>
              <w:jc w:val="center"/>
              <w:rPr>
                <w:b/>
                <w:sz w:val="20"/>
                <w:lang w:val="de-DE"/>
              </w:rPr>
            </w:pPr>
            <w:r w:rsidRPr="005A5989">
              <w:rPr>
                <w:b/>
                <w:color w:val="FFFFFF"/>
                <w:sz w:val="20"/>
                <w:lang w:val="de-DE"/>
              </w:rPr>
              <w:t>Nein</w:t>
            </w:r>
          </w:p>
        </w:tc>
      </w:tr>
      <w:tr w:rsidR="00811147" w:rsidRPr="005A5989" w14:paraId="6266F9A2" w14:textId="77777777" w:rsidTr="00EC6FF0">
        <w:trPr>
          <w:trHeight w:val="581"/>
        </w:trPr>
        <w:tc>
          <w:tcPr>
            <w:tcW w:w="361" w:type="dxa"/>
            <w:tcBorders>
              <w:left w:val="nil"/>
            </w:tcBorders>
            <w:shd w:val="clear" w:color="auto" w:fill="E0E1E3"/>
          </w:tcPr>
          <w:p w14:paraId="7E293C44"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1.</w:t>
            </w:r>
          </w:p>
        </w:tc>
        <w:tc>
          <w:tcPr>
            <w:tcW w:w="6884" w:type="dxa"/>
            <w:shd w:val="clear" w:color="auto" w:fill="E0E1E3"/>
          </w:tcPr>
          <w:p w14:paraId="0EF9F26B" w14:textId="77777777" w:rsidR="00811147" w:rsidRPr="005A5989" w:rsidRDefault="00EC6FF0" w:rsidP="0068358E">
            <w:pPr>
              <w:pStyle w:val="TableParagraph"/>
              <w:spacing w:before="3" w:line="254" w:lineRule="auto"/>
              <w:ind w:left="47" w:right="4"/>
              <w:rPr>
                <w:sz w:val="20"/>
                <w:lang w:val="de-DE"/>
              </w:rPr>
            </w:pPr>
            <w:r>
              <w:rPr>
                <w:sz w:val="20"/>
                <w:lang w:val="de-DE"/>
              </w:rPr>
              <w:t xml:space="preserve">Wir sehen Rückkehrgespräche nicht als lästige Pflicht, sondern als zentrales Element unserer betrieblichen Gesundheitsförderung. </w:t>
            </w:r>
          </w:p>
        </w:tc>
        <w:tc>
          <w:tcPr>
            <w:tcW w:w="696" w:type="dxa"/>
            <w:shd w:val="clear" w:color="auto" w:fill="E0E1E3"/>
            <w:vAlign w:val="center"/>
          </w:tcPr>
          <w:p w14:paraId="25D5B423" w14:textId="77777777" w:rsidR="00811147" w:rsidRPr="005A5989" w:rsidRDefault="00307CBD" w:rsidP="005A5989">
            <w:pPr>
              <w:pStyle w:val="TableParagraph"/>
              <w:jc w:val="center"/>
              <w:rPr>
                <w:rFonts w:ascii="Times"/>
                <w:color w:val="009FE4"/>
                <w:sz w:val="20"/>
                <w:lang w:val="de-DE"/>
              </w:rPr>
            </w:pPr>
            <w:sdt>
              <w:sdtPr>
                <w:rPr>
                  <w:color w:val="4A4A4B"/>
                </w:rPr>
                <w:id w:val="680402330"/>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126C5E36" w14:textId="77777777" w:rsidR="00811147" w:rsidRPr="005A5989" w:rsidRDefault="00307CBD" w:rsidP="005A5989">
            <w:pPr>
              <w:pStyle w:val="TableParagraph"/>
              <w:jc w:val="center"/>
              <w:rPr>
                <w:rFonts w:ascii="Times"/>
                <w:sz w:val="20"/>
                <w:lang w:val="de-DE"/>
              </w:rPr>
            </w:pPr>
            <w:sdt>
              <w:sdtPr>
                <w:rPr>
                  <w:color w:val="4A4A4B"/>
                </w:rPr>
                <w:id w:val="-1586750593"/>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439093A2" w14:textId="77777777" w:rsidTr="00EC6FF0">
        <w:trPr>
          <w:trHeight w:val="316"/>
        </w:trPr>
        <w:tc>
          <w:tcPr>
            <w:tcW w:w="361" w:type="dxa"/>
            <w:tcBorders>
              <w:left w:val="nil"/>
            </w:tcBorders>
            <w:shd w:val="clear" w:color="auto" w:fill="E0E1E3"/>
          </w:tcPr>
          <w:p w14:paraId="2383A8A6"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2.</w:t>
            </w:r>
          </w:p>
        </w:tc>
        <w:tc>
          <w:tcPr>
            <w:tcW w:w="6884" w:type="dxa"/>
            <w:shd w:val="clear" w:color="auto" w:fill="E0E1E3"/>
          </w:tcPr>
          <w:p w14:paraId="0CE9B842" w14:textId="77777777" w:rsidR="00811147" w:rsidRPr="005A5989" w:rsidRDefault="00EC6FF0" w:rsidP="0068358E">
            <w:pPr>
              <w:pStyle w:val="TableParagraph"/>
              <w:spacing w:before="3"/>
              <w:ind w:left="47"/>
              <w:rPr>
                <w:sz w:val="20"/>
                <w:lang w:val="de-DE"/>
              </w:rPr>
            </w:pPr>
            <w:r>
              <w:rPr>
                <w:sz w:val="20"/>
                <w:lang w:val="de-DE"/>
              </w:rPr>
              <w:t xml:space="preserve">Es ist bei uns „normal“, dass Vorgesetzte und Rückkehrer sich begrüßen und gegenseitig informieren, das funktioniert auch ohne Betriebsvereinbarung. </w:t>
            </w:r>
          </w:p>
        </w:tc>
        <w:tc>
          <w:tcPr>
            <w:tcW w:w="696" w:type="dxa"/>
            <w:shd w:val="clear" w:color="auto" w:fill="E0E1E3"/>
            <w:vAlign w:val="center"/>
          </w:tcPr>
          <w:p w14:paraId="7D4E682E" w14:textId="77777777" w:rsidR="00811147" w:rsidRPr="005A5989" w:rsidRDefault="00307CBD" w:rsidP="005A5989">
            <w:pPr>
              <w:pStyle w:val="TableParagraph"/>
              <w:jc w:val="center"/>
              <w:rPr>
                <w:rFonts w:ascii="Times"/>
                <w:sz w:val="20"/>
                <w:lang w:val="de-DE"/>
              </w:rPr>
            </w:pPr>
            <w:sdt>
              <w:sdtPr>
                <w:rPr>
                  <w:color w:val="4A4A4B"/>
                </w:rPr>
                <w:id w:val="1969629610"/>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43FFB35B" w14:textId="77777777" w:rsidR="00811147" w:rsidRPr="005A5989" w:rsidRDefault="00307CBD" w:rsidP="005A5989">
            <w:pPr>
              <w:pStyle w:val="TableParagraph"/>
              <w:jc w:val="center"/>
              <w:rPr>
                <w:rFonts w:ascii="Times"/>
                <w:sz w:val="20"/>
                <w:lang w:val="de-DE"/>
              </w:rPr>
            </w:pPr>
            <w:sdt>
              <w:sdtPr>
                <w:rPr>
                  <w:color w:val="4A4A4B"/>
                </w:rPr>
                <w:id w:val="-1594470290"/>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7B3F9B06" w14:textId="77777777" w:rsidTr="00EC6FF0">
        <w:trPr>
          <w:trHeight w:val="316"/>
        </w:trPr>
        <w:tc>
          <w:tcPr>
            <w:tcW w:w="361" w:type="dxa"/>
            <w:tcBorders>
              <w:left w:val="nil"/>
            </w:tcBorders>
            <w:shd w:val="clear" w:color="auto" w:fill="E0E1E3"/>
          </w:tcPr>
          <w:p w14:paraId="1C7C8512"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3.</w:t>
            </w:r>
          </w:p>
        </w:tc>
        <w:tc>
          <w:tcPr>
            <w:tcW w:w="6884" w:type="dxa"/>
            <w:shd w:val="clear" w:color="auto" w:fill="E0E1E3"/>
          </w:tcPr>
          <w:p w14:paraId="7009C77F" w14:textId="77777777" w:rsidR="00811147" w:rsidRPr="005A5989" w:rsidRDefault="00EC6FF0" w:rsidP="0068358E">
            <w:pPr>
              <w:pStyle w:val="TableParagraph"/>
              <w:spacing w:before="3"/>
              <w:ind w:left="47"/>
              <w:rPr>
                <w:sz w:val="20"/>
                <w:lang w:val="de-DE"/>
              </w:rPr>
            </w:pPr>
            <w:r>
              <w:rPr>
                <w:sz w:val="20"/>
                <w:lang w:val="de-DE"/>
              </w:rPr>
              <w:t xml:space="preserve">Unsere Vorgesetzten haben von sich aus Interesse, mit einem Rückkehrer persönlich zu sprechen. </w:t>
            </w:r>
          </w:p>
        </w:tc>
        <w:tc>
          <w:tcPr>
            <w:tcW w:w="696" w:type="dxa"/>
            <w:shd w:val="clear" w:color="auto" w:fill="E0E1E3"/>
            <w:vAlign w:val="center"/>
          </w:tcPr>
          <w:p w14:paraId="423749AC" w14:textId="77777777" w:rsidR="00811147" w:rsidRPr="005A5989" w:rsidRDefault="00307CBD" w:rsidP="005A5989">
            <w:pPr>
              <w:pStyle w:val="TableParagraph"/>
              <w:jc w:val="center"/>
              <w:rPr>
                <w:rFonts w:ascii="Times"/>
                <w:sz w:val="20"/>
                <w:lang w:val="de-DE"/>
              </w:rPr>
            </w:pPr>
            <w:sdt>
              <w:sdtPr>
                <w:rPr>
                  <w:color w:val="4A4A4B"/>
                </w:rPr>
                <w:id w:val="-692145955"/>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5E12331C" w14:textId="77777777" w:rsidR="00811147" w:rsidRPr="005A5989" w:rsidRDefault="00307CBD" w:rsidP="005A5989">
            <w:pPr>
              <w:pStyle w:val="TableParagraph"/>
              <w:jc w:val="center"/>
              <w:rPr>
                <w:rFonts w:ascii="Times"/>
                <w:sz w:val="20"/>
                <w:lang w:val="de-DE"/>
              </w:rPr>
            </w:pPr>
            <w:sdt>
              <w:sdtPr>
                <w:rPr>
                  <w:color w:val="4A4A4B"/>
                </w:rPr>
                <w:id w:val="1796633673"/>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1C4189FA" w14:textId="77777777" w:rsidTr="00EC6FF0">
        <w:trPr>
          <w:trHeight w:val="316"/>
        </w:trPr>
        <w:tc>
          <w:tcPr>
            <w:tcW w:w="361" w:type="dxa"/>
            <w:tcBorders>
              <w:left w:val="nil"/>
            </w:tcBorders>
            <w:shd w:val="clear" w:color="auto" w:fill="E0E1E3"/>
          </w:tcPr>
          <w:p w14:paraId="522B3DEC"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4.</w:t>
            </w:r>
          </w:p>
        </w:tc>
        <w:tc>
          <w:tcPr>
            <w:tcW w:w="6884" w:type="dxa"/>
            <w:shd w:val="clear" w:color="auto" w:fill="E0E1E3"/>
          </w:tcPr>
          <w:p w14:paraId="5FF3739B" w14:textId="77777777" w:rsidR="00811147" w:rsidRPr="005A5989" w:rsidRDefault="00EC6FF0" w:rsidP="0068358E">
            <w:pPr>
              <w:pStyle w:val="TableParagraph"/>
              <w:spacing w:before="3"/>
              <w:ind w:left="47"/>
              <w:rPr>
                <w:sz w:val="20"/>
                <w:lang w:val="de-DE"/>
              </w:rPr>
            </w:pPr>
            <w:r>
              <w:rPr>
                <w:sz w:val="20"/>
                <w:lang w:val="de-DE"/>
              </w:rPr>
              <w:t>Wir gestalten schon die Ankündigung eines Rückkehrgesprächs, aber auch dessen Ablauf so, dass die Situation Fürsorge und Interesse widerspiegelt und keinesfalls als ein „Ich werde zum Chef zitiert, weil ich krank war“, empfunden wird.</w:t>
            </w:r>
          </w:p>
        </w:tc>
        <w:tc>
          <w:tcPr>
            <w:tcW w:w="696" w:type="dxa"/>
            <w:shd w:val="clear" w:color="auto" w:fill="E0E1E3"/>
            <w:vAlign w:val="center"/>
          </w:tcPr>
          <w:p w14:paraId="19A6D83A" w14:textId="77777777" w:rsidR="00811147" w:rsidRPr="005A5989" w:rsidRDefault="00307CBD" w:rsidP="005A5989">
            <w:pPr>
              <w:pStyle w:val="TableParagraph"/>
              <w:jc w:val="center"/>
              <w:rPr>
                <w:rFonts w:ascii="Times"/>
                <w:sz w:val="20"/>
                <w:lang w:val="de-DE"/>
              </w:rPr>
            </w:pPr>
            <w:sdt>
              <w:sdtPr>
                <w:rPr>
                  <w:color w:val="4A4A4B"/>
                </w:rPr>
                <w:id w:val="-2124915233"/>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30C1F786" w14:textId="77777777" w:rsidR="00811147" w:rsidRPr="005A5989" w:rsidRDefault="00307CBD" w:rsidP="005A5989">
            <w:pPr>
              <w:pStyle w:val="TableParagraph"/>
              <w:jc w:val="center"/>
              <w:rPr>
                <w:rFonts w:ascii="Times"/>
                <w:sz w:val="20"/>
                <w:lang w:val="de-DE"/>
              </w:rPr>
            </w:pPr>
            <w:sdt>
              <w:sdtPr>
                <w:rPr>
                  <w:color w:val="4A4A4B"/>
                </w:rPr>
                <w:id w:val="2135212594"/>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2BDD8986" w14:textId="77777777" w:rsidTr="00EC6FF0">
        <w:trPr>
          <w:trHeight w:val="316"/>
        </w:trPr>
        <w:tc>
          <w:tcPr>
            <w:tcW w:w="361" w:type="dxa"/>
            <w:tcBorders>
              <w:left w:val="nil"/>
            </w:tcBorders>
            <w:shd w:val="clear" w:color="auto" w:fill="E0E1E3"/>
          </w:tcPr>
          <w:p w14:paraId="1956FB70"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5.</w:t>
            </w:r>
          </w:p>
        </w:tc>
        <w:tc>
          <w:tcPr>
            <w:tcW w:w="6884" w:type="dxa"/>
            <w:shd w:val="clear" w:color="auto" w:fill="E0E1E3"/>
          </w:tcPr>
          <w:p w14:paraId="38F8B355" w14:textId="77777777" w:rsidR="00811147" w:rsidRPr="005A5989" w:rsidRDefault="00EC6FF0" w:rsidP="0068358E">
            <w:pPr>
              <w:pStyle w:val="TableParagraph"/>
              <w:spacing w:before="3"/>
              <w:ind w:left="47"/>
              <w:rPr>
                <w:sz w:val="20"/>
                <w:lang w:val="de-DE"/>
              </w:rPr>
            </w:pPr>
            <w:r>
              <w:rPr>
                <w:sz w:val="20"/>
                <w:lang w:val="de-DE"/>
              </w:rPr>
              <w:t>Es ist selbstverständlich, dass Personalvertretung, Betriebsrat und ggf. weitere Akteure wie der Behindertenbeauftragte auf Wunsch des Betroffenen einbezogen werden.</w:t>
            </w:r>
          </w:p>
        </w:tc>
        <w:tc>
          <w:tcPr>
            <w:tcW w:w="696" w:type="dxa"/>
            <w:shd w:val="clear" w:color="auto" w:fill="E0E1E3"/>
            <w:vAlign w:val="center"/>
          </w:tcPr>
          <w:p w14:paraId="38048DD5" w14:textId="77777777" w:rsidR="00811147" w:rsidRPr="005A5989" w:rsidRDefault="00307CBD" w:rsidP="005A5989">
            <w:pPr>
              <w:pStyle w:val="TableParagraph"/>
              <w:jc w:val="center"/>
              <w:rPr>
                <w:rFonts w:ascii="Times"/>
                <w:sz w:val="20"/>
                <w:lang w:val="de-DE"/>
              </w:rPr>
            </w:pPr>
            <w:sdt>
              <w:sdtPr>
                <w:rPr>
                  <w:color w:val="4A4A4B"/>
                </w:rPr>
                <w:id w:val="1370875357"/>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21C208EF" w14:textId="77777777" w:rsidR="00811147" w:rsidRPr="005A5989" w:rsidRDefault="00307CBD" w:rsidP="005A5989">
            <w:pPr>
              <w:pStyle w:val="TableParagraph"/>
              <w:jc w:val="center"/>
              <w:rPr>
                <w:rFonts w:ascii="Times"/>
                <w:sz w:val="20"/>
                <w:lang w:val="de-DE"/>
              </w:rPr>
            </w:pPr>
            <w:sdt>
              <w:sdtPr>
                <w:rPr>
                  <w:color w:val="4A4A4B"/>
                </w:rPr>
                <w:id w:val="-966203608"/>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78481BB0" w14:textId="77777777" w:rsidTr="00EC6FF0">
        <w:trPr>
          <w:trHeight w:val="316"/>
        </w:trPr>
        <w:tc>
          <w:tcPr>
            <w:tcW w:w="361" w:type="dxa"/>
            <w:tcBorders>
              <w:left w:val="nil"/>
            </w:tcBorders>
            <w:shd w:val="clear" w:color="auto" w:fill="E0E1E3"/>
          </w:tcPr>
          <w:p w14:paraId="6CF1A534"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6.</w:t>
            </w:r>
          </w:p>
        </w:tc>
        <w:tc>
          <w:tcPr>
            <w:tcW w:w="6884" w:type="dxa"/>
            <w:shd w:val="clear" w:color="auto" w:fill="E0E1E3"/>
          </w:tcPr>
          <w:p w14:paraId="0D5BBFB1" w14:textId="77777777" w:rsidR="00811147" w:rsidRPr="005A5989" w:rsidRDefault="00EC6FF0" w:rsidP="0068358E">
            <w:pPr>
              <w:pStyle w:val="TableParagraph"/>
              <w:spacing w:before="3"/>
              <w:ind w:left="47"/>
              <w:rPr>
                <w:sz w:val="20"/>
                <w:lang w:val="de-DE"/>
              </w:rPr>
            </w:pPr>
            <w:r>
              <w:rPr>
                <w:sz w:val="20"/>
                <w:lang w:val="de-DE"/>
              </w:rPr>
              <w:t xml:space="preserve">Vorgesetzten und Führungskräften ist bewusst, dass die einer Krankschreibung zugrunde liegende ärztliche Diagnose den Betrieb nichts angeht. </w:t>
            </w:r>
          </w:p>
        </w:tc>
        <w:tc>
          <w:tcPr>
            <w:tcW w:w="696" w:type="dxa"/>
            <w:shd w:val="clear" w:color="auto" w:fill="E0E1E3"/>
            <w:vAlign w:val="center"/>
          </w:tcPr>
          <w:p w14:paraId="13D5B043" w14:textId="77777777" w:rsidR="00811147" w:rsidRPr="005A5989" w:rsidRDefault="00307CBD" w:rsidP="005A5989">
            <w:pPr>
              <w:pStyle w:val="TableParagraph"/>
              <w:jc w:val="center"/>
              <w:rPr>
                <w:rFonts w:ascii="Times"/>
                <w:sz w:val="20"/>
                <w:lang w:val="de-DE"/>
              </w:rPr>
            </w:pPr>
            <w:sdt>
              <w:sdtPr>
                <w:rPr>
                  <w:color w:val="4A4A4B"/>
                </w:rPr>
                <w:id w:val="1494300700"/>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07D7AE58" w14:textId="77777777" w:rsidR="00811147" w:rsidRPr="005A5989" w:rsidRDefault="00307CBD" w:rsidP="005A5989">
            <w:pPr>
              <w:pStyle w:val="TableParagraph"/>
              <w:jc w:val="center"/>
              <w:rPr>
                <w:rFonts w:ascii="Times"/>
                <w:sz w:val="20"/>
                <w:lang w:val="de-DE"/>
              </w:rPr>
            </w:pPr>
            <w:sdt>
              <w:sdtPr>
                <w:rPr>
                  <w:color w:val="4A4A4B"/>
                </w:rPr>
                <w:id w:val="-303706714"/>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65FC4EEC" w14:textId="77777777" w:rsidTr="00EC6FF0">
        <w:trPr>
          <w:trHeight w:val="316"/>
        </w:trPr>
        <w:tc>
          <w:tcPr>
            <w:tcW w:w="361" w:type="dxa"/>
            <w:tcBorders>
              <w:left w:val="nil"/>
            </w:tcBorders>
            <w:shd w:val="clear" w:color="auto" w:fill="E0E1E3"/>
          </w:tcPr>
          <w:p w14:paraId="015B3836"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7.</w:t>
            </w:r>
          </w:p>
        </w:tc>
        <w:tc>
          <w:tcPr>
            <w:tcW w:w="6884" w:type="dxa"/>
            <w:shd w:val="clear" w:color="auto" w:fill="E0E1E3"/>
          </w:tcPr>
          <w:p w14:paraId="23881A1B" w14:textId="77777777" w:rsidR="00811147" w:rsidRPr="005A5989" w:rsidRDefault="00EC6FF0" w:rsidP="0068358E">
            <w:pPr>
              <w:pStyle w:val="TableParagraph"/>
              <w:spacing w:before="3"/>
              <w:ind w:left="47"/>
              <w:rPr>
                <w:sz w:val="20"/>
                <w:lang w:val="de-DE"/>
              </w:rPr>
            </w:pPr>
            <w:r>
              <w:rPr>
                <w:sz w:val="20"/>
                <w:lang w:val="de-DE"/>
              </w:rPr>
              <w:t>Wir sind uns bewusst, dass die Frage nach einer gesundheitlichen Beeinträchtigung nur dann zulässig ist, wenn beurteilt werden muss, ob derjenige für eine bestimmte Aufgabe oder Arbeitssituation (etwa Alleinarbeit) geeignet ist.</w:t>
            </w:r>
          </w:p>
        </w:tc>
        <w:tc>
          <w:tcPr>
            <w:tcW w:w="696" w:type="dxa"/>
            <w:shd w:val="clear" w:color="auto" w:fill="E0E1E3"/>
            <w:vAlign w:val="center"/>
          </w:tcPr>
          <w:p w14:paraId="375E30E9" w14:textId="77777777" w:rsidR="00811147" w:rsidRPr="005A5989" w:rsidRDefault="00307CBD" w:rsidP="005A5989">
            <w:pPr>
              <w:pStyle w:val="TableParagraph"/>
              <w:jc w:val="center"/>
              <w:rPr>
                <w:rFonts w:ascii="Times"/>
                <w:sz w:val="20"/>
                <w:lang w:val="de-DE"/>
              </w:rPr>
            </w:pPr>
            <w:sdt>
              <w:sdtPr>
                <w:rPr>
                  <w:color w:val="4A4A4B"/>
                </w:rPr>
                <w:id w:val="-900673433"/>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33873B57" w14:textId="77777777" w:rsidR="00811147" w:rsidRPr="005A5989" w:rsidRDefault="00307CBD" w:rsidP="005A5989">
            <w:pPr>
              <w:pStyle w:val="TableParagraph"/>
              <w:jc w:val="center"/>
              <w:rPr>
                <w:rFonts w:ascii="Times"/>
                <w:sz w:val="20"/>
                <w:lang w:val="de-DE"/>
              </w:rPr>
            </w:pPr>
            <w:sdt>
              <w:sdtPr>
                <w:rPr>
                  <w:color w:val="4A4A4B"/>
                </w:rPr>
                <w:id w:val="1574389808"/>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4535B7F1" w14:textId="77777777" w:rsidTr="00EC6FF0">
        <w:trPr>
          <w:trHeight w:val="316"/>
        </w:trPr>
        <w:tc>
          <w:tcPr>
            <w:tcW w:w="361" w:type="dxa"/>
            <w:tcBorders>
              <w:left w:val="nil"/>
            </w:tcBorders>
            <w:shd w:val="clear" w:color="auto" w:fill="E0E1E3"/>
          </w:tcPr>
          <w:p w14:paraId="1B6C972B"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8.</w:t>
            </w:r>
          </w:p>
        </w:tc>
        <w:tc>
          <w:tcPr>
            <w:tcW w:w="6884" w:type="dxa"/>
            <w:shd w:val="clear" w:color="auto" w:fill="E0E1E3"/>
          </w:tcPr>
          <w:p w14:paraId="2FF00186" w14:textId="77777777" w:rsidR="00811147" w:rsidRPr="005A5989" w:rsidRDefault="00BF0E41" w:rsidP="0068358E">
            <w:pPr>
              <w:pStyle w:val="TableParagraph"/>
              <w:spacing w:before="3"/>
              <w:ind w:left="47"/>
              <w:rPr>
                <w:sz w:val="20"/>
                <w:lang w:val="de-DE"/>
              </w:rPr>
            </w:pPr>
            <w:r>
              <w:rPr>
                <w:sz w:val="20"/>
                <w:lang w:val="de-DE"/>
              </w:rPr>
              <w:t xml:space="preserve">Selbst in Fällen, in denen eine Befindlichkeit sicherheitsrelevant sein kann, wird niemand bedrängt, seine Erkrankung mehr als notwendig zu konkretisieren. Uns ist bewusst, dass auch bei einem ansonsten offenen Verhältnis mit dem Chef und den Kollegen persönliche Schamgrenzen stets zu respektieren sind. </w:t>
            </w:r>
          </w:p>
        </w:tc>
        <w:tc>
          <w:tcPr>
            <w:tcW w:w="696" w:type="dxa"/>
            <w:shd w:val="clear" w:color="auto" w:fill="E0E1E3"/>
            <w:vAlign w:val="center"/>
          </w:tcPr>
          <w:p w14:paraId="25772E4C" w14:textId="77777777" w:rsidR="00811147" w:rsidRPr="005A5989" w:rsidRDefault="00307CBD" w:rsidP="005A5989">
            <w:pPr>
              <w:pStyle w:val="TableParagraph"/>
              <w:jc w:val="center"/>
              <w:rPr>
                <w:rFonts w:ascii="Times"/>
                <w:sz w:val="20"/>
                <w:lang w:val="de-DE"/>
              </w:rPr>
            </w:pPr>
            <w:sdt>
              <w:sdtPr>
                <w:rPr>
                  <w:color w:val="4A4A4B"/>
                </w:rPr>
                <w:id w:val="-1411839023"/>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6837F16C" w14:textId="77777777" w:rsidR="00811147" w:rsidRPr="005A5989" w:rsidRDefault="00307CBD" w:rsidP="005A5989">
            <w:pPr>
              <w:pStyle w:val="TableParagraph"/>
              <w:jc w:val="center"/>
              <w:rPr>
                <w:rFonts w:ascii="Times"/>
                <w:sz w:val="20"/>
                <w:lang w:val="de-DE"/>
              </w:rPr>
            </w:pPr>
            <w:sdt>
              <w:sdtPr>
                <w:rPr>
                  <w:color w:val="4A4A4B"/>
                </w:rPr>
                <w:id w:val="-1905067094"/>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72A5FA61" w14:textId="77777777" w:rsidTr="00EC6FF0">
        <w:trPr>
          <w:trHeight w:val="316"/>
        </w:trPr>
        <w:tc>
          <w:tcPr>
            <w:tcW w:w="361" w:type="dxa"/>
            <w:tcBorders>
              <w:left w:val="nil"/>
            </w:tcBorders>
            <w:shd w:val="clear" w:color="auto" w:fill="E0E1E3"/>
          </w:tcPr>
          <w:p w14:paraId="38DE6E1F"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9.</w:t>
            </w:r>
          </w:p>
        </w:tc>
        <w:tc>
          <w:tcPr>
            <w:tcW w:w="6884" w:type="dxa"/>
            <w:shd w:val="clear" w:color="auto" w:fill="E0E1E3"/>
          </w:tcPr>
          <w:p w14:paraId="48335F5F" w14:textId="77777777" w:rsidR="00811147" w:rsidRPr="005A5989" w:rsidRDefault="00BF0E41" w:rsidP="0068358E">
            <w:pPr>
              <w:pStyle w:val="TableParagraph"/>
              <w:spacing w:before="3"/>
              <w:ind w:left="47"/>
              <w:rPr>
                <w:sz w:val="20"/>
                <w:lang w:val="de-DE"/>
              </w:rPr>
            </w:pPr>
            <w:r>
              <w:rPr>
                <w:sz w:val="20"/>
                <w:lang w:val="de-DE"/>
              </w:rPr>
              <w:t>Vorgesetzte achten darauf, in Rückkehrgesprächen keine Fragen zu stellen, die in die Persönlichkeitsrechte des Beschäftigten eingreifen.</w:t>
            </w:r>
          </w:p>
        </w:tc>
        <w:tc>
          <w:tcPr>
            <w:tcW w:w="696" w:type="dxa"/>
            <w:shd w:val="clear" w:color="auto" w:fill="E0E1E3"/>
            <w:vAlign w:val="center"/>
          </w:tcPr>
          <w:p w14:paraId="75DE9D9E" w14:textId="77777777" w:rsidR="00811147" w:rsidRPr="005A5989" w:rsidRDefault="00307CBD" w:rsidP="005A5989">
            <w:pPr>
              <w:pStyle w:val="TableParagraph"/>
              <w:jc w:val="center"/>
              <w:rPr>
                <w:rFonts w:ascii="Times"/>
                <w:sz w:val="20"/>
                <w:lang w:val="de-DE"/>
              </w:rPr>
            </w:pPr>
            <w:sdt>
              <w:sdtPr>
                <w:rPr>
                  <w:color w:val="4A4A4B"/>
                </w:rPr>
                <w:id w:val="-724452559"/>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7851BBFE" w14:textId="77777777" w:rsidR="00811147" w:rsidRPr="005A5989" w:rsidRDefault="00307CBD" w:rsidP="005A5989">
            <w:pPr>
              <w:pStyle w:val="TableParagraph"/>
              <w:jc w:val="center"/>
              <w:rPr>
                <w:rFonts w:ascii="Times"/>
                <w:sz w:val="20"/>
                <w:lang w:val="de-DE"/>
              </w:rPr>
            </w:pPr>
            <w:sdt>
              <w:sdtPr>
                <w:rPr>
                  <w:color w:val="4A4A4B"/>
                </w:rPr>
                <w:id w:val="-1142889097"/>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565672E2" w14:textId="77777777" w:rsidTr="00EC6FF0">
        <w:trPr>
          <w:trHeight w:val="581"/>
        </w:trPr>
        <w:tc>
          <w:tcPr>
            <w:tcW w:w="361" w:type="dxa"/>
            <w:tcBorders>
              <w:left w:val="nil"/>
            </w:tcBorders>
            <w:shd w:val="clear" w:color="auto" w:fill="E0E1E3"/>
          </w:tcPr>
          <w:p w14:paraId="648345DC"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10.</w:t>
            </w:r>
          </w:p>
        </w:tc>
        <w:tc>
          <w:tcPr>
            <w:tcW w:w="6884" w:type="dxa"/>
            <w:shd w:val="clear" w:color="auto" w:fill="E0E1E3"/>
          </w:tcPr>
          <w:p w14:paraId="1B1BF50C" w14:textId="77777777" w:rsidR="00811147" w:rsidRPr="005A5989" w:rsidRDefault="00BF0E41" w:rsidP="0068358E">
            <w:pPr>
              <w:pStyle w:val="TableParagraph"/>
              <w:spacing w:before="3" w:line="254" w:lineRule="auto"/>
              <w:ind w:left="47" w:right="291"/>
              <w:rPr>
                <w:sz w:val="20"/>
                <w:lang w:val="de-DE"/>
              </w:rPr>
            </w:pPr>
            <w:r>
              <w:rPr>
                <w:sz w:val="20"/>
                <w:lang w:val="de-DE"/>
              </w:rPr>
              <w:t xml:space="preserve">Vorgesetzte dürfen die Schwierigkeiten aufgrund von Fehlzeiten, die Mehrarbeit für die Kollegen usw. ansprechen, aber ohne dass daraus ein Vorwurf wird. </w:t>
            </w:r>
          </w:p>
        </w:tc>
        <w:tc>
          <w:tcPr>
            <w:tcW w:w="696" w:type="dxa"/>
            <w:shd w:val="clear" w:color="auto" w:fill="E0E1E3"/>
            <w:vAlign w:val="center"/>
          </w:tcPr>
          <w:p w14:paraId="1A9484F5" w14:textId="77777777" w:rsidR="00811147" w:rsidRPr="005A5989" w:rsidRDefault="00307CBD" w:rsidP="005A5989">
            <w:pPr>
              <w:pStyle w:val="TableParagraph"/>
              <w:jc w:val="center"/>
              <w:rPr>
                <w:rFonts w:ascii="Times"/>
                <w:sz w:val="20"/>
                <w:lang w:val="de-DE"/>
              </w:rPr>
            </w:pPr>
            <w:sdt>
              <w:sdtPr>
                <w:rPr>
                  <w:color w:val="4A4A4B"/>
                </w:rPr>
                <w:id w:val="1714389701"/>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4EBD7C4D" w14:textId="77777777" w:rsidR="00811147" w:rsidRPr="005A5989" w:rsidRDefault="00307CBD" w:rsidP="005A5989">
            <w:pPr>
              <w:pStyle w:val="TableParagraph"/>
              <w:jc w:val="center"/>
              <w:rPr>
                <w:rFonts w:ascii="Times"/>
                <w:sz w:val="20"/>
                <w:lang w:val="de-DE"/>
              </w:rPr>
            </w:pPr>
            <w:sdt>
              <w:sdtPr>
                <w:rPr>
                  <w:color w:val="4A4A4B"/>
                </w:rPr>
                <w:id w:val="368422354"/>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2D3EEFBC" w14:textId="77777777" w:rsidTr="00EC6FF0">
        <w:trPr>
          <w:trHeight w:val="316"/>
        </w:trPr>
        <w:tc>
          <w:tcPr>
            <w:tcW w:w="361" w:type="dxa"/>
            <w:tcBorders>
              <w:left w:val="nil"/>
            </w:tcBorders>
            <w:shd w:val="clear" w:color="auto" w:fill="E0E1E3"/>
          </w:tcPr>
          <w:p w14:paraId="4D822AEE" w14:textId="77777777" w:rsidR="00811147" w:rsidRPr="005A5989" w:rsidRDefault="00811147" w:rsidP="0068358E">
            <w:pPr>
              <w:pStyle w:val="TableParagraph"/>
              <w:spacing w:before="3"/>
              <w:ind w:right="44"/>
              <w:jc w:val="right"/>
              <w:rPr>
                <w:sz w:val="20"/>
                <w:lang w:val="de-DE"/>
              </w:rPr>
            </w:pPr>
            <w:r w:rsidRPr="005A5989">
              <w:rPr>
                <w:color w:val="231F20"/>
                <w:sz w:val="20"/>
                <w:lang w:val="de-DE"/>
              </w:rPr>
              <w:t>11.</w:t>
            </w:r>
          </w:p>
        </w:tc>
        <w:tc>
          <w:tcPr>
            <w:tcW w:w="6884" w:type="dxa"/>
            <w:shd w:val="clear" w:color="auto" w:fill="E0E1E3"/>
          </w:tcPr>
          <w:p w14:paraId="15B5DCB5" w14:textId="77777777" w:rsidR="00811147" w:rsidRPr="005A5989" w:rsidRDefault="00BF0E41" w:rsidP="0068358E">
            <w:pPr>
              <w:pStyle w:val="TableParagraph"/>
              <w:spacing w:before="3"/>
              <w:ind w:left="47"/>
              <w:rPr>
                <w:sz w:val="20"/>
                <w:lang w:val="de-DE"/>
              </w:rPr>
            </w:pPr>
            <w:r>
              <w:rPr>
                <w:sz w:val="20"/>
                <w:lang w:val="de-DE"/>
              </w:rPr>
              <w:t xml:space="preserve">Wir informieren jeden Rückkehrer darüber, was sich in der Zwischenzeit an seinem Arbeitsplatz, Arbeitsabläufen, Aufgaben, Arbeitsmitteln usw. </w:t>
            </w:r>
            <w:r w:rsidR="00C67382">
              <w:rPr>
                <w:sz w:val="20"/>
                <w:lang w:val="de-DE"/>
              </w:rPr>
              <w:t>verändert hat.</w:t>
            </w:r>
          </w:p>
        </w:tc>
        <w:tc>
          <w:tcPr>
            <w:tcW w:w="696" w:type="dxa"/>
            <w:shd w:val="clear" w:color="auto" w:fill="E0E1E3"/>
            <w:vAlign w:val="center"/>
          </w:tcPr>
          <w:p w14:paraId="7CE0C2F9" w14:textId="77777777" w:rsidR="00811147" w:rsidRPr="005A5989" w:rsidRDefault="00307CBD" w:rsidP="005A5989">
            <w:pPr>
              <w:pStyle w:val="TableParagraph"/>
              <w:jc w:val="center"/>
              <w:rPr>
                <w:rFonts w:ascii="Times"/>
                <w:sz w:val="20"/>
                <w:lang w:val="de-DE"/>
              </w:rPr>
            </w:pPr>
            <w:sdt>
              <w:sdtPr>
                <w:rPr>
                  <w:color w:val="4A4A4B"/>
                </w:rPr>
                <w:id w:val="-1398212169"/>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55A4C5A3" w14:textId="77777777" w:rsidR="00811147" w:rsidRPr="005A5989" w:rsidRDefault="00307CBD" w:rsidP="005A5989">
            <w:pPr>
              <w:pStyle w:val="TableParagraph"/>
              <w:jc w:val="center"/>
              <w:rPr>
                <w:rFonts w:ascii="Times"/>
                <w:sz w:val="20"/>
                <w:lang w:val="de-DE"/>
              </w:rPr>
            </w:pPr>
            <w:sdt>
              <w:sdtPr>
                <w:rPr>
                  <w:color w:val="4A4A4B"/>
                </w:rPr>
                <w:id w:val="1544014679"/>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2CF2D867" w14:textId="77777777" w:rsidTr="00EC6FF0">
        <w:trPr>
          <w:trHeight w:val="316"/>
        </w:trPr>
        <w:tc>
          <w:tcPr>
            <w:tcW w:w="361" w:type="dxa"/>
            <w:tcBorders>
              <w:left w:val="nil"/>
            </w:tcBorders>
            <w:shd w:val="clear" w:color="auto" w:fill="E0E1E3"/>
          </w:tcPr>
          <w:p w14:paraId="627FB9E4"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12.</w:t>
            </w:r>
          </w:p>
        </w:tc>
        <w:tc>
          <w:tcPr>
            <w:tcW w:w="6884" w:type="dxa"/>
            <w:shd w:val="clear" w:color="auto" w:fill="E0E1E3"/>
          </w:tcPr>
          <w:p w14:paraId="590B3B50" w14:textId="77777777" w:rsidR="00811147" w:rsidRPr="005A5989" w:rsidRDefault="00C67382" w:rsidP="0068358E">
            <w:pPr>
              <w:pStyle w:val="TableParagraph"/>
              <w:spacing w:before="3"/>
              <w:ind w:left="47"/>
              <w:rPr>
                <w:sz w:val="20"/>
                <w:lang w:val="de-DE"/>
              </w:rPr>
            </w:pPr>
            <w:r>
              <w:rPr>
                <w:sz w:val="20"/>
                <w:lang w:val="de-DE"/>
              </w:rPr>
              <w:t>Wir prüfen sorgfältig und in jedem Einzelfall, ob sich durch eine Ausfallzeit ein neuer Unterweisungsbedarf ergeben hat, weil den Rückkehrer z. B. eine neue Maschine oder ein neues Arbeitsverfahren erwartet.</w:t>
            </w:r>
          </w:p>
        </w:tc>
        <w:tc>
          <w:tcPr>
            <w:tcW w:w="696" w:type="dxa"/>
            <w:shd w:val="clear" w:color="auto" w:fill="E0E1E3"/>
            <w:vAlign w:val="center"/>
          </w:tcPr>
          <w:p w14:paraId="1EEF63F3" w14:textId="77777777" w:rsidR="00811147" w:rsidRPr="005A5989" w:rsidRDefault="00307CBD" w:rsidP="005A5989">
            <w:pPr>
              <w:pStyle w:val="TableParagraph"/>
              <w:jc w:val="center"/>
              <w:rPr>
                <w:rFonts w:ascii="Times"/>
                <w:sz w:val="20"/>
                <w:lang w:val="de-DE"/>
              </w:rPr>
            </w:pPr>
            <w:sdt>
              <w:sdtPr>
                <w:rPr>
                  <w:color w:val="4A4A4B"/>
                </w:rPr>
                <w:id w:val="613328384"/>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60DA2CBA" w14:textId="77777777" w:rsidR="00811147" w:rsidRPr="005A5989" w:rsidRDefault="00307CBD" w:rsidP="005A5989">
            <w:pPr>
              <w:pStyle w:val="TableParagraph"/>
              <w:jc w:val="center"/>
              <w:rPr>
                <w:rFonts w:ascii="Times"/>
                <w:sz w:val="20"/>
                <w:lang w:val="de-DE"/>
              </w:rPr>
            </w:pPr>
            <w:sdt>
              <w:sdtPr>
                <w:rPr>
                  <w:color w:val="4A4A4B"/>
                </w:rPr>
                <w:id w:val="-1136172980"/>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40311085" w14:textId="77777777" w:rsidTr="00EC6FF0">
        <w:trPr>
          <w:trHeight w:val="316"/>
        </w:trPr>
        <w:tc>
          <w:tcPr>
            <w:tcW w:w="361" w:type="dxa"/>
            <w:tcBorders>
              <w:left w:val="nil"/>
            </w:tcBorders>
            <w:shd w:val="clear" w:color="auto" w:fill="E0E1E3"/>
          </w:tcPr>
          <w:p w14:paraId="7B64B26B"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13.</w:t>
            </w:r>
          </w:p>
        </w:tc>
        <w:tc>
          <w:tcPr>
            <w:tcW w:w="6884" w:type="dxa"/>
            <w:shd w:val="clear" w:color="auto" w:fill="E0E1E3"/>
          </w:tcPr>
          <w:p w14:paraId="611DAC41" w14:textId="77777777" w:rsidR="00811147" w:rsidRPr="005A5989" w:rsidRDefault="00C67382" w:rsidP="0068358E">
            <w:pPr>
              <w:pStyle w:val="TableParagraph"/>
              <w:spacing w:before="3"/>
              <w:ind w:left="47"/>
              <w:rPr>
                <w:sz w:val="20"/>
                <w:lang w:val="de-DE"/>
              </w:rPr>
            </w:pPr>
            <w:r>
              <w:rPr>
                <w:sz w:val="20"/>
                <w:lang w:val="de-DE"/>
              </w:rPr>
              <w:t xml:space="preserve">Es ist selbstverständlich, dass Vorgesetzte bei Erkrankungen sich stets auch fragen, ob betrieblich bedingte Ursachen verantwortlich oder mitverantwortlich sein könnten. </w:t>
            </w:r>
          </w:p>
        </w:tc>
        <w:tc>
          <w:tcPr>
            <w:tcW w:w="696" w:type="dxa"/>
            <w:shd w:val="clear" w:color="auto" w:fill="E0E1E3"/>
            <w:vAlign w:val="center"/>
          </w:tcPr>
          <w:p w14:paraId="4A661D58" w14:textId="77777777" w:rsidR="00811147" w:rsidRPr="005A5989" w:rsidRDefault="00307CBD" w:rsidP="005A5989">
            <w:pPr>
              <w:pStyle w:val="TableParagraph"/>
              <w:jc w:val="center"/>
              <w:rPr>
                <w:rFonts w:ascii="Times"/>
                <w:sz w:val="20"/>
                <w:lang w:val="de-DE"/>
              </w:rPr>
            </w:pPr>
            <w:sdt>
              <w:sdtPr>
                <w:rPr>
                  <w:color w:val="4A4A4B"/>
                </w:rPr>
                <w:id w:val="1625651934"/>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4A8089BE" w14:textId="77777777" w:rsidR="00811147" w:rsidRPr="005A5989" w:rsidRDefault="00307CBD" w:rsidP="005A5989">
            <w:pPr>
              <w:pStyle w:val="TableParagraph"/>
              <w:jc w:val="center"/>
              <w:rPr>
                <w:rFonts w:ascii="Times"/>
                <w:sz w:val="20"/>
                <w:lang w:val="de-DE"/>
              </w:rPr>
            </w:pPr>
            <w:sdt>
              <w:sdtPr>
                <w:rPr>
                  <w:color w:val="4A4A4B"/>
                </w:rPr>
                <w:id w:val="-283973018"/>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7665BBC5" w14:textId="77777777" w:rsidTr="00EC6FF0">
        <w:trPr>
          <w:trHeight w:val="316"/>
        </w:trPr>
        <w:tc>
          <w:tcPr>
            <w:tcW w:w="361" w:type="dxa"/>
            <w:tcBorders>
              <w:left w:val="nil"/>
            </w:tcBorders>
            <w:shd w:val="clear" w:color="auto" w:fill="E0E1E3"/>
          </w:tcPr>
          <w:p w14:paraId="355397A2"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14.</w:t>
            </w:r>
          </w:p>
        </w:tc>
        <w:tc>
          <w:tcPr>
            <w:tcW w:w="6884" w:type="dxa"/>
            <w:shd w:val="clear" w:color="auto" w:fill="E0E1E3"/>
          </w:tcPr>
          <w:p w14:paraId="62ECE91B" w14:textId="77777777" w:rsidR="00811147" w:rsidRPr="005A5989" w:rsidRDefault="00C67382" w:rsidP="0068358E">
            <w:pPr>
              <w:pStyle w:val="TableParagraph"/>
              <w:spacing w:before="3"/>
              <w:ind w:left="47"/>
              <w:rPr>
                <w:sz w:val="20"/>
                <w:lang w:val="de-DE"/>
              </w:rPr>
            </w:pPr>
            <w:r>
              <w:rPr>
                <w:sz w:val="20"/>
                <w:lang w:val="de-DE"/>
              </w:rPr>
              <w:t>Wir fragen den zurückgekehrten Kollegen, was sich seiner Meinung nach an seinem Arbeitsplatz oder seinen Arbeitsbedingungen ändern könnte oder sollte.</w:t>
            </w:r>
          </w:p>
        </w:tc>
        <w:tc>
          <w:tcPr>
            <w:tcW w:w="696" w:type="dxa"/>
            <w:shd w:val="clear" w:color="auto" w:fill="E0E1E3"/>
            <w:vAlign w:val="center"/>
          </w:tcPr>
          <w:p w14:paraId="35B7A70C" w14:textId="77777777" w:rsidR="00811147" w:rsidRPr="005A5989" w:rsidRDefault="00307CBD" w:rsidP="005A5989">
            <w:pPr>
              <w:pStyle w:val="TableParagraph"/>
              <w:jc w:val="center"/>
              <w:rPr>
                <w:rFonts w:ascii="Times"/>
                <w:sz w:val="20"/>
                <w:lang w:val="de-DE"/>
              </w:rPr>
            </w:pPr>
            <w:sdt>
              <w:sdtPr>
                <w:rPr>
                  <w:color w:val="4A4A4B"/>
                </w:rPr>
                <w:id w:val="-1306162057"/>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619042F6" w14:textId="77777777" w:rsidR="00811147" w:rsidRPr="005A5989" w:rsidRDefault="00307CBD" w:rsidP="005A5989">
            <w:pPr>
              <w:pStyle w:val="TableParagraph"/>
              <w:jc w:val="center"/>
              <w:rPr>
                <w:rFonts w:ascii="Times"/>
                <w:sz w:val="20"/>
                <w:lang w:val="de-DE"/>
              </w:rPr>
            </w:pPr>
            <w:sdt>
              <w:sdtPr>
                <w:rPr>
                  <w:color w:val="4A4A4B"/>
                </w:rPr>
                <w:id w:val="254028493"/>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r w:rsidR="00811147" w:rsidRPr="005A5989" w14:paraId="72491927" w14:textId="77777777" w:rsidTr="00EC6FF0">
        <w:trPr>
          <w:trHeight w:val="316"/>
        </w:trPr>
        <w:tc>
          <w:tcPr>
            <w:tcW w:w="361" w:type="dxa"/>
            <w:tcBorders>
              <w:left w:val="nil"/>
            </w:tcBorders>
            <w:shd w:val="clear" w:color="auto" w:fill="E0E1E3"/>
          </w:tcPr>
          <w:p w14:paraId="37E15DB1" w14:textId="77777777" w:rsidR="00811147" w:rsidRPr="005A5989" w:rsidRDefault="00811147" w:rsidP="0068358E">
            <w:pPr>
              <w:pStyle w:val="TableParagraph"/>
              <w:spacing w:before="3"/>
              <w:ind w:right="46"/>
              <w:jc w:val="right"/>
              <w:rPr>
                <w:sz w:val="20"/>
                <w:lang w:val="de-DE"/>
              </w:rPr>
            </w:pPr>
            <w:r w:rsidRPr="005A5989">
              <w:rPr>
                <w:color w:val="231F20"/>
                <w:sz w:val="20"/>
                <w:lang w:val="de-DE"/>
              </w:rPr>
              <w:t>15.</w:t>
            </w:r>
          </w:p>
        </w:tc>
        <w:tc>
          <w:tcPr>
            <w:tcW w:w="6884" w:type="dxa"/>
            <w:shd w:val="clear" w:color="auto" w:fill="E0E1E3"/>
          </w:tcPr>
          <w:p w14:paraId="5BD42325" w14:textId="77777777" w:rsidR="00811147" w:rsidRPr="005A5989" w:rsidRDefault="00C67382" w:rsidP="0068358E">
            <w:pPr>
              <w:pStyle w:val="TableParagraph"/>
              <w:spacing w:before="3"/>
              <w:ind w:left="47"/>
              <w:rPr>
                <w:sz w:val="20"/>
                <w:lang w:val="de-DE"/>
              </w:rPr>
            </w:pPr>
            <w:r>
              <w:rPr>
                <w:sz w:val="20"/>
                <w:lang w:val="de-DE"/>
              </w:rPr>
              <w:t xml:space="preserve">Wir versuchen, den Übergang zurück in den Beruf zu erleichtern und bieten ggf. einen Teileinstieg in Etappen an. </w:t>
            </w:r>
          </w:p>
        </w:tc>
        <w:tc>
          <w:tcPr>
            <w:tcW w:w="696" w:type="dxa"/>
            <w:shd w:val="clear" w:color="auto" w:fill="E0E1E3"/>
            <w:vAlign w:val="center"/>
          </w:tcPr>
          <w:p w14:paraId="74552618" w14:textId="77777777" w:rsidR="00811147" w:rsidRPr="005A5989" w:rsidRDefault="00307CBD" w:rsidP="005A5989">
            <w:pPr>
              <w:pStyle w:val="TableParagraph"/>
              <w:jc w:val="center"/>
              <w:rPr>
                <w:rFonts w:ascii="Times"/>
                <w:sz w:val="20"/>
                <w:lang w:val="de-DE"/>
              </w:rPr>
            </w:pPr>
            <w:sdt>
              <w:sdtPr>
                <w:rPr>
                  <w:color w:val="4A4A4B"/>
                </w:rPr>
                <w:id w:val="1181625968"/>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c>
          <w:tcPr>
            <w:tcW w:w="762" w:type="dxa"/>
            <w:tcBorders>
              <w:right w:val="nil"/>
            </w:tcBorders>
            <w:shd w:val="clear" w:color="auto" w:fill="E0E1E3"/>
            <w:vAlign w:val="center"/>
          </w:tcPr>
          <w:p w14:paraId="01A356E4" w14:textId="77777777" w:rsidR="00811147" w:rsidRPr="005A5989" w:rsidRDefault="00307CBD" w:rsidP="005A5989">
            <w:pPr>
              <w:pStyle w:val="TableParagraph"/>
              <w:jc w:val="center"/>
              <w:rPr>
                <w:rFonts w:ascii="Times"/>
                <w:sz w:val="20"/>
                <w:lang w:val="de-DE"/>
              </w:rPr>
            </w:pPr>
            <w:sdt>
              <w:sdtPr>
                <w:rPr>
                  <w:color w:val="4A4A4B"/>
                </w:rPr>
                <w:id w:val="-1013922850"/>
                <w14:checkbox>
                  <w14:checked w14:val="0"/>
                  <w14:checkedState w14:val="2612" w14:font="MS Gothic"/>
                  <w14:uncheckedState w14:val="2610" w14:font="MS Gothic"/>
                </w14:checkbox>
              </w:sdtPr>
              <w:sdtEndPr/>
              <w:sdtContent>
                <w:r w:rsidR="005A5989" w:rsidRPr="005A5989">
                  <w:rPr>
                    <w:rFonts w:ascii="MS Gothic" w:eastAsia="MS Gothic" w:hAnsi="MS Gothic"/>
                    <w:color w:val="4A4A4B"/>
                    <w:lang w:val="de-DE"/>
                  </w:rPr>
                  <w:t>☐</w:t>
                </w:r>
              </w:sdtContent>
            </w:sdt>
          </w:p>
        </w:tc>
      </w:tr>
    </w:tbl>
    <w:p w14:paraId="7956F370" w14:textId="77777777" w:rsidR="006C27EC" w:rsidRPr="005A5989" w:rsidRDefault="006C27EC" w:rsidP="00811147">
      <w:pPr>
        <w:pStyle w:val="Checkliste"/>
        <w:rPr>
          <w:rFonts w:asciiTheme="majorHAnsi" w:hAnsiTheme="majorHAnsi" w:cstheme="majorHAnsi"/>
          <w:sz w:val="24"/>
        </w:rPr>
      </w:pPr>
    </w:p>
    <w:sectPr w:rsidR="006C27EC" w:rsidRPr="005A5989" w:rsidSect="008111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1DF27" w14:textId="77777777" w:rsidR="00307CBD" w:rsidRDefault="00307CBD" w:rsidP="008B0457">
      <w:pPr>
        <w:spacing w:line="240" w:lineRule="auto"/>
      </w:pPr>
      <w:r>
        <w:separator/>
      </w:r>
    </w:p>
  </w:endnote>
  <w:endnote w:type="continuationSeparator" w:id="0">
    <w:p w14:paraId="5480549C" w14:textId="77777777" w:rsidR="00307CBD" w:rsidRDefault="00307CBD"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C1FC1" w14:textId="77777777" w:rsidR="00FF2A80" w:rsidRDefault="00FF2A8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81704" w14:textId="350EF64F"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4902B104" wp14:editId="074DB0DC">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w:t>
    </w:r>
    <w:proofErr w:type="spellEnd"/>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Xperts</w:t>
    </w:r>
    <w:proofErr w:type="spellEnd"/>
    <w:r w:rsidR="00C67D68" w:rsidRPr="00811147">
      <w:rPr>
        <w:rFonts w:asciiTheme="majorHAnsi" w:hAnsiTheme="majorHAnsi" w:cstheme="majorHAnsi"/>
        <w:sz w:val="18"/>
        <w:lang w:bidi="de-DE"/>
      </w:rPr>
      <w:t xml:space="preserve">, </w:t>
    </w:r>
    <w:r w:rsidR="00C67382">
      <w:rPr>
        <w:rFonts w:asciiTheme="majorHAnsi" w:hAnsiTheme="majorHAnsi" w:cstheme="majorHAnsi"/>
        <w:sz w:val="18"/>
        <w:lang w:bidi="de-DE"/>
      </w:rPr>
      <w:t xml:space="preserve">Arbeitssicherheit &amp; Gesundheitsschutz aktuell, Friedhelm Kring   </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715705" w:rsidRPr="00715705">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42E7BE42"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4BB55" w14:textId="77777777" w:rsidR="00FF2A80" w:rsidRDefault="00FF2A8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1985C" w14:textId="77777777" w:rsidR="00307CBD" w:rsidRDefault="00307CBD" w:rsidP="008B0457">
      <w:pPr>
        <w:spacing w:line="240" w:lineRule="auto"/>
      </w:pPr>
      <w:r>
        <w:separator/>
      </w:r>
    </w:p>
  </w:footnote>
  <w:footnote w:type="continuationSeparator" w:id="0">
    <w:p w14:paraId="199C68F2" w14:textId="77777777" w:rsidR="00307CBD" w:rsidRDefault="00307CBD"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F2AEA" w14:textId="77777777" w:rsidR="00FF2A80" w:rsidRDefault="00FF2A8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E52E5" w14:textId="77777777" w:rsidR="00715705" w:rsidRDefault="00715705">
    <w:pPr>
      <w:pStyle w:val="Kopfzeile"/>
    </w:pPr>
  </w:p>
  <w:bookmarkStart w:id="1" w:name="_GoBack"/>
  <w:bookmarkEnd w:id="1"/>
  <w:p w14:paraId="3DEBE0C4" w14:textId="5DCF2B10"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07E4CFAD" wp14:editId="6FFFDDF6">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sidR="00715705">
      <w:rPr>
        <w:noProof/>
        <w:lang w:eastAsia="de-DE"/>
      </w:rPr>
      <w:drawing>
        <wp:inline distT="0" distB="0" distL="0" distR="0" wp14:anchorId="6FB3DA9A" wp14:editId="61D64552">
          <wp:extent cx="2313940" cy="570865"/>
          <wp:effectExtent l="0" t="0" r="0" b="635"/>
          <wp:docPr id="2" name="Grafik 1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2113D" w14:textId="77777777" w:rsidR="00FF2A80" w:rsidRDefault="00FF2A8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68"/>
    <w:rsid w:val="0003156E"/>
    <w:rsid w:val="001421CE"/>
    <w:rsid w:val="00181F90"/>
    <w:rsid w:val="00194FA3"/>
    <w:rsid w:val="002A0996"/>
    <w:rsid w:val="002B1C90"/>
    <w:rsid w:val="002D5565"/>
    <w:rsid w:val="00307CBD"/>
    <w:rsid w:val="003A29F6"/>
    <w:rsid w:val="003A77CE"/>
    <w:rsid w:val="00585E82"/>
    <w:rsid w:val="005970E2"/>
    <w:rsid w:val="005A5989"/>
    <w:rsid w:val="006259A1"/>
    <w:rsid w:val="00675F78"/>
    <w:rsid w:val="006C0196"/>
    <w:rsid w:val="006C0AED"/>
    <w:rsid w:val="006C27EC"/>
    <w:rsid w:val="006C444D"/>
    <w:rsid w:val="00715705"/>
    <w:rsid w:val="0081053B"/>
    <w:rsid w:val="00811147"/>
    <w:rsid w:val="008B0457"/>
    <w:rsid w:val="009739C5"/>
    <w:rsid w:val="00994872"/>
    <w:rsid w:val="00A27BBA"/>
    <w:rsid w:val="00A34118"/>
    <w:rsid w:val="00AD2609"/>
    <w:rsid w:val="00AE53AB"/>
    <w:rsid w:val="00B04DF0"/>
    <w:rsid w:val="00B11398"/>
    <w:rsid w:val="00B27F29"/>
    <w:rsid w:val="00B55E3C"/>
    <w:rsid w:val="00B734EF"/>
    <w:rsid w:val="00B75C23"/>
    <w:rsid w:val="00B80F1F"/>
    <w:rsid w:val="00BB5447"/>
    <w:rsid w:val="00BF0E41"/>
    <w:rsid w:val="00C67382"/>
    <w:rsid w:val="00C67D68"/>
    <w:rsid w:val="00D00296"/>
    <w:rsid w:val="00D141B9"/>
    <w:rsid w:val="00D41208"/>
    <w:rsid w:val="00E42E27"/>
    <w:rsid w:val="00E71676"/>
    <w:rsid w:val="00EC6FF0"/>
    <w:rsid w:val="00EE14B4"/>
    <w:rsid w:val="00F06AF6"/>
    <w:rsid w:val="00F41810"/>
    <w:rsid w:val="00F5564F"/>
    <w:rsid w:val="00F6243E"/>
    <w:rsid w:val="00F93095"/>
    <w:rsid w:val="00FA0816"/>
    <w:rsid w:val="00FB4A42"/>
    <w:rsid w:val="00FF2A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2.xml><?xml version="1.0" encoding="utf-8"?>
<ds:datastoreItem xmlns:ds="http://schemas.openxmlformats.org/officeDocument/2006/customXml" ds:itemID="{9A3D220B-4165-49E0-8591-AE794FBC9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1</Pages>
  <Words>382</Words>
  <Characters>2411</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2023-08-18T08:58:00Z</dcterms:created>
  <dcterms:modified xsi:type="dcterms:W3CDTF">2024-07-31T14:46:00Z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