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B54CC" w14:textId="418B7B5B" w:rsidR="006C27EC" w:rsidRPr="009852EE" w:rsidRDefault="006C27EC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</w:p>
    <w:p w14:paraId="2537BA93" w14:textId="77777777" w:rsidR="003A7B5D" w:rsidRDefault="003A7B5D" w:rsidP="003A7B5D">
      <w:pPr>
        <w:spacing w:before="95"/>
        <w:ind w:left="105"/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Insider-checkliste: so wird aus der psychischen belastung keine psychische beanspruchung</w:t>
      </w:r>
    </w:p>
    <w:p w14:paraId="65FD727D" w14:textId="77777777" w:rsidR="003A7B5D" w:rsidRDefault="003A7B5D" w:rsidP="003A7B5D">
      <w:pPr>
        <w:pStyle w:val="Textbody"/>
        <w:spacing w:before="1"/>
        <w:rPr>
          <w:sz w:val="9"/>
        </w:rPr>
      </w:pPr>
      <w:bookmarkStart w:id="1" w:name="_Hlk29210750"/>
    </w:p>
    <w:bookmarkEnd w:id="1"/>
    <w:p w14:paraId="471E247D" w14:textId="77777777" w:rsidR="003A7B5D" w:rsidRDefault="003A7B5D" w:rsidP="003A7B5D">
      <w:pPr>
        <w:pStyle w:val="Textbody"/>
        <w:spacing w:before="1"/>
        <w:rPr>
          <w:sz w:val="9"/>
        </w:rPr>
      </w:pPr>
    </w:p>
    <w:tbl>
      <w:tblPr>
        <w:tblW w:w="89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7136"/>
        <w:gridCol w:w="947"/>
      </w:tblGrid>
      <w:tr w:rsidR="003A7B5D" w14:paraId="27C69057" w14:textId="77777777" w:rsidTr="003A7B5D">
        <w:trPr>
          <w:trHeight w:val="274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ABA5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Nr.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C9C9" w14:textId="77777777" w:rsidR="003A7B5D" w:rsidRDefault="003A7B5D">
            <w:pPr>
              <w:pStyle w:val="UTWCopy"/>
              <w:widowControl w:val="0"/>
              <w:spacing w:line="240" w:lineRule="auto"/>
              <w:ind w:left="227" w:hanging="227"/>
              <w:jc w:val="left"/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Check-Punkt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EC9F" w14:textId="77777777" w:rsidR="003A7B5D" w:rsidRDefault="003A7B5D">
            <w:pPr>
              <w:pStyle w:val="UTWCopy"/>
              <w:widowControl w:val="0"/>
              <w:spacing w:line="240" w:lineRule="auto"/>
              <w:ind w:left="227" w:hanging="227"/>
              <w:jc w:val="left"/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o. k.?</w:t>
            </w:r>
          </w:p>
        </w:tc>
      </w:tr>
      <w:tr w:rsidR="003A7B5D" w14:paraId="7CC9EF34" w14:textId="77777777" w:rsidTr="003A7B5D">
        <w:trPr>
          <w:trHeight w:val="265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27C2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F"/>
                <w:spacing w:val="-2"/>
                <w:sz w:val="20"/>
                <w:szCs w:val="20"/>
                <w:lang w:val="en-US"/>
              </w:rPr>
              <w:t>1.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0244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Es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wurde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geprüft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ob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die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Belastung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einmalig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oder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regelmäßig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vorkommt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.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Dabei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wurde</w:t>
            </w:r>
            <w:proofErr w:type="spellEnd"/>
          </w:p>
          <w:p w14:paraId="0A999471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festgehalten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welche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>Verhältnisse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pacing w:val="-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eintreten müssen.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6D32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4A4A4B"/>
                <w:lang w:val="en-US" w:eastAsia="en-US"/>
              </w:rPr>
            </w:pPr>
          </w:p>
        </w:tc>
      </w:tr>
      <w:tr w:rsidR="003A7B5D" w14:paraId="7433EC3E" w14:textId="77777777" w:rsidTr="003A7B5D">
        <w:trPr>
          <w:trHeight w:val="254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8823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F"/>
                <w:spacing w:val="-2"/>
                <w:sz w:val="20"/>
                <w:szCs w:val="20"/>
                <w:lang w:val="en-US"/>
              </w:rPr>
              <w:t>2.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966E" w14:textId="77777777" w:rsidR="003A7B5D" w:rsidRDefault="003A7B5D">
            <w:pPr>
              <w:widowControl w:val="0"/>
              <w:spacing w:before="0" w:after="0" w:line="240" w:lineRule="auto"/>
              <w:ind w:left="227" w:hanging="227"/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Es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wurde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geprüft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ob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die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Belastung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durch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die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Verhältnisse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am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Arbeitsplatz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oder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das</w:t>
            </w:r>
          </w:p>
          <w:p w14:paraId="6B18F37E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Verhalten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der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Arbeitnehmer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>ausgelöst</w:t>
            </w:r>
            <w:proofErr w:type="spellEnd"/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wird. Das Verhalten kann nur begrenzt beeinflusst</w:t>
            </w:r>
          </w:p>
          <w:p w14:paraId="37421A71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werden, hier muss es dann Beratungs- oder Schulungsangebote geben.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29A7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4A4A4B"/>
                <w:lang w:val="en-US" w:eastAsia="en-US"/>
              </w:rPr>
            </w:pPr>
          </w:p>
        </w:tc>
      </w:tr>
      <w:tr w:rsidR="003A7B5D" w14:paraId="616DD92A" w14:textId="77777777" w:rsidTr="003A7B5D">
        <w:trPr>
          <w:trHeight w:val="273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FB0A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F"/>
                <w:spacing w:val="-2"/>
                <w:sz w:val="20"/>
                <w:szCs w:val="20"/>
                <w:lang w:val="en-US"/>
              </w:rPr>
              <w:t>3.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737D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Es wurde geprüft , ob die Belastung von langer Dauer ist oder ob es sich nur um</w:t>
            </w:r>
          </w:p>
          <w:p w14:paraId="18C47FD8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kurzzeitige Themen handelt. Bei langer Dauer wird festgelegt, was darunter zu verstehen</w:t>
            </w:r>
          </w:p>
          <w:p w14:paraId="4569377E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ist und wie diese abgekürzt werden kann.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B530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4A4A4B"/>
                <w:lang w:val="en-US" w:eastAsia="en-US"/>
              </w:rPr>
            </w:pPr>
          </w:p>
        </w:tc>
      </w:tr>
      <w:tr w:rsidR="003A7B5D" w14:paraId="23E5A956" w14:textId="77777777" w:rsidTr="003A7B5D">
        <w:trPr>
          <w:trHeight w:val="258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FB4C" w14:textId="77777777" w:rsidR="003A7B5D" w:rsidRDefault="003A7B5D">
            <w:pPr>
              <w:widowControl w:val="0"/>
              <w:spacing w:before="0" w:after="0" w:line="240" w:lineRule="auto"/>
            </w:pPr>
            <w:r>
              <w:rPr>
                <w:rFonts w:ascii="Arial" w:hAnsi="Arial" w:cs="F"/>
                <w:color w:val="000000"/>
                <w:spacing w:val="-2"/>
                <w:sz w:val="20"/>
                <w:szCs w:val="20"/>
                <w:lang w:val="en-US"/>
              </w:rPr>
              <w:t>4.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60AF" w14:textId="77777777" w:rsidR="003A7B5D" w:rsidRDefault="003A7B5D">
            <w:pPr>
              <w:widowControl w:val="0"/>
              <w:spacing w:line="240" w:lineRule="auto"/>
            </w:pP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Es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wurde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geprüft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,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ob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die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Belastung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durch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Führungskräfte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ausgelöst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oder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abgefangen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wird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, was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für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die </w:t>
            </w:r>
            <w:proofErr w:type="spellStart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>Arbeitnehmer</w:t>
            </w:r>
            <w:proofErr w:type="spellEnd"/>
            <w:r>
              <w:rPr>
                <w:rFonts w:ascii="Calibri-Light" w:eastAsia="Calibri-Light" w:hAnsi="Calibri-Light" w:cs="Calibri-Light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wiederum belastende Verhältnisse bedeuten kann. Defizite in der Führung, z. B. durch schlechte Kommunikation, werden dann durch Seminare korrigiert.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FDC0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4A4A4B"/>
                <w:lang w:val="en-US" w:eastAsia="en-US"/>
              </w:rPr>
            </w:pPr>
          </w:p>
        </w:tc>
      </w:tr>
      <w:tr w:rsidR="003A7B5D" w14:paraId="3D2D2A57" w14:textId="77777777" w:rsidTr="003A7B5D">
        <w:trPr>
          <w:trHeight w:val="267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0203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5.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08A8" w14:textId="77777777" w:rsidR="003A7B5D" w:rsidRDefault="003A7B5D">
            <w:pPr>
              <w:pStyle w:val="Textbody"/>
              <w:spacing w:line="276" w:lineRule="auto"/>
              <w:rPr>
                <w:lang w:eastAsia="en-US"/>
              </w:rPr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  <w:lang w:eastAsia="en-US"/>
              </w:rPr>
              <w:t>Es wurde geprüft, ob die Belastung durch mangelnde Zusammenarbeit der Arbeitnehmer</w:t>
            </w:r>
          </w:p>
          <w:p w14:paraId="2618C729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ausgelöst wird oder durch besonders aufmerksame Zusammenarbeit abgefangen werden</w:t>
            </w:r>
          </w:p>
          <w:p w14:paraId="1F9D373B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kann. Defizite, die z. B. durch Mobbing etc. entstehen, müssen durch Führungsverhalten</w:t>
            </w:r>
          </w:p>
          <w:p w14:paraId="6D5C82E9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des Vorgesetzten kompensiert werden.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127E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4A4A4B"/>
                <w:lang w:val="en-US" w:eastAsia="en-US"/>
              </w:rPr>
            </w:pPr>
          </w:p>
        </w:tc>
      </w:tr>
      <w:tr w:rsidR="003A7B5D" w14:paraId="32E10C3A" w14:textId="77777777" w:rsidTr="003A7B5D">
        <w:trPr>
          <w:trHeight w:val="270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E18C9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6.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8DF0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Es wurde geprüft, ob eine Beanspruchung durch eine Überlastungsanzeige erkannt</w:t>
            </w:r>
          </w:p>
          <w:p w14:paraId="725735DB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werden kann. Wenn dies nicht der Fall ist, müssen Möglichkeiten, wie etwa ein</w:t>
            </w:r>
          </w:p>
          <w:p w14:paraId="16BA1490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sz w:val="19"/>
                <w:szCs w:val="19"/>
              </w:rPr>
              <w:t>Kummerkasten, geschaffen werden.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917B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A7B5D" w14:paraId="2DD95D62" w14:textId="77777777" w:rsidTr="003A7B5D">
        <w:trPr>
          <w:trHeight w:val="261"/>
        </w:trPr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E050" w14:textId="77777777" w:rsidR="003A7B5D" w:rsidRDefault="003A7B5D">
            <w:pPr>
              <w:pStyle w:val="UTWCopy"/>
              <w:widowControl w:val="0"/>
              <w:spacing w:line="240" w:lineRule="auto"/>
              <w:jc w:val="left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7.</w:t>
            </w:r>
          </w:p>
        </w:tc>
        <w:tc>
          <w:tcPr>
            <w:tcW w:w="7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55B3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Es wurde geprüft, ob der Betriebsarzt in die Beanspruchungs-/Belastungserkennung</w:t>
            </w:r>
          </w:p>
          <w:p w14:paraId="7DB47895" w14:textId="77777777" w:rsidR="003A7B5D" w:rsidRDefault="003A7B5D">
            <w:pPr>
              <w:widowControl w:val="0"/>
              <w:spacing w:before="0" w:after="0" w:line="240" w:lineRule="auto"/>
              <w:ind w:left="227" w:hanging="227"/>
            </w:pPr>
            <w:r>
              <w:rPr>
                <w:rFonts w:ascii="Calibri-Light" w:eastAsia="Calibri-Light" w:hAnsi="Calibri-Light" w:cs="Calibri-Light"/>
                <w:color w:val="000000"/>
                <w:sz w:val="19"/>
                <w:szCs w:val="19"/>
              </w:rPr>
              <w:t>eingebunden wird und, wenn nicht, wie dies erfolgen kann.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1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F40D" w14:textId="77777777" w:rsidR="003A7B5D" w:rsidRDefault="003A7B5D">
            <w:pPr>
              <w:pStyle w:val="TableParagraph"/>
              <w:spacing w:line="276" w:lineRule="auto"/>
              <w:jc w:val="center"/>
              <w:rPr>
                <w:rFonts w:ascii="Times New Roman" w:hAnsi="Times New Roman" w:cs="F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6E03718" w14:textId="77777777" w:rsidR="003A7B5D" w:rsidRDefault="003A7B5D" w:rsidP="003A7B5D">
      <w:pPr>
        <w:pStyle w:val="Checkliste"/>
        <w:rPr>
          <w:kern w:val="3"/>
        </w:rPr>
      </w:pPr>
      <w:r>
        <w:rPr>
          <w:rFonts w:ascii="Arial" w:hAnsi="Arial"/>
          <w:sz w:val="24"/>
        </w:rPr>
        <w:br/>
      </w:r>
    </w:p>
    <w:p w14:paraId="1299163E" w14:textId="517F8C57" w:rsidR="006C27EC" w:rsidRPr="005A5989" w:rsidRDefault="006C27EC" w:rsidP="003A7B5D">
      <w:pPr>
        <w:spacing w:before="95"/>
        <w:ind w:left="105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892C5" w14:textId="77777777" w:rsidR="00947F37" w:rsidRDefault="00947F37" w:rsidP="008B0457">
      <w:pPr>
        <w:spacing w:line="240" w:lineRule="auto"/>
      </w:pPr>
      <w:r>
        <w:separator/>
      </w:r>
    </w:p>
  </w:endnote>
  <w:endnote w:type="continuationSeparator" w:id="0">
    <w:p w14:paraId="048CECE7" w14:textId="77777777" w:rsidR="00947F37" w:rsidRDefault="00947F3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-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0A35" w14:textId="77777777" w:rsidR="006B0360" w:rsidRDefault="006B036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1B2F5" w14:textId="429DD3F1"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14:paraId="618B275C" w14:textId="77777777"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108C6" w14:textId="77777777" w:rsidR="006B0360" w:rsidRDefault="006B03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A00FA" w14:textId="77777777" w:rsidR="00947F37" w:rsidRDefault="00947F37" w:rsidP="008B0457">
      <w:pPr>
        <w:spacing w:line="240" w:lineRule="auto"/>
      </w:pPr>
      <w:r>
        <w:separator/>
      </w:r>
    </w:p>
  </w:footnote>
  <w:footnote w:type="continuationSeparator" w:id="0">
    <w:p w14:paraId="3E216085" w14:textId="77777777" w:rsidR="00947F37" w:rsidRDefault="00947F3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45617" w14:textId="77777777" w:rsidR="006B0360" w:rsidRDefault="006B036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F566E" w14:textId="67FF9178" w:rsidR="00C67D68" w:rsidRDefault="003A22D4">
    <w:pPr>
      <w:pStyle w:val="Kopfzeile"/>
    </w:pPr>
    <w:r>
      <w:br/>
    </w:r>
    <w:bookmarkStart w:id="2" w:name="_GoBack"/>
    <w:bookmarkEnd w:id="2"/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5FD5F188" wp14:editId="2D9FD6C8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67A8A" w14:textId="77777777" w:rsidR="006B0360" w:rsidRDefault="006B03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93FD8"/>
    <w:rsid w:val="000D23DD"/>
    <w:rsid w:val="000F4930"/>
    <w:rsid w:val="000F668E"/>
    <w:rsid w:val="001140E1"/>
    <w:rsid w:val="001421CE"/>
    <w:rsid w:val="00181F90"/>
    <w:rsid w:val="001941AF"/>
    <w:rsid w:val="00194FA3"/>
    <w:rsid w:val="00286147"/>
    <w:rsid w:val="002A0996"/>
    <w:rsid w:val="002B1C90"/>
    <w:rsid w:val="002D5565"/>
    <w:rsid w:val="003A22D4"/>
    <w:rsid w:val="003A77CE"/>
    <w:rsid w:val="003A7B5D"/>
    <w:rsid w:val="004C3CDE"/>
    <w:rsid w:val="005406B0"/>
    <w:rsid w:val="00577314"/>
    <w:rsid w:val="00585E82"/>
    <w:rsid w:val="005A5989"/>
    <w:rsid w:val="005B16A7"/>
    <w:rsid w:val="006259A1"/>
    <w:rsid w:val="00675F78"/>
    <w:rsid w:val="006B0360"/>
    <w:rsid w:val="006C0196"/>
    <w:rsid w:val="006C0AED"/>
    <w:rsid w:val="006C27EC"/>
    <w:rsid w:val="006C444D"/>
    <w:rsid w:val="00713D94"/>
    <w:rsid w:val="007D708B"/>
    <w:rsid w:val="0081053B"/>
    <w:rsid w:val="00811147"/>
    <w:rsid w:val="008A4232"/>
    <w:rsid w:val="008B0457"/>
    <w:rsid w:val="00947F37"/>
    <w:rsid w:val="009639EF"/>
    <w:rsid w:val="009753D2"/>
    <w:rsid w:val="009852EE"/>
    <w:rsid w:val="00A13DA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34D9C"/>
    <w:rsid w:val="00C67D68"/>
    <w:rsid w:val="00C97A41"/>
    <w:rsid w:val="00D00296"/>
    <w:rsid w:val="00D141B9"/>
    <w:rsid w:val="00D41208"/>
    <w:rsid w:val="00E42E27"/>
    <w:rsid w:val="00E70F5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9D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tabs>
        <w:tab w:val="num" w:pos="360"/>
      </w:tabs>
      <w:ind w:left="720" w:firstLine="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Textbody">
    <w:name w:val="Text body"/>
    <w:basedOn w:val="Standard"/>
    <w:rsid w:val="003A7B5D"/>
    <w:pPr>
      <w:widowControl w:val="0"/>
      <w:suppressAutoHyphens/>
      <w:autoSpaceDN w:val="0"/>
      <w:spacing w:before="0" w:after="0" w:line="240" w:lineRule="auto"/>
    </w:pPr>
    <w:rPr>
      <w:rFonts w:ascii="Arial" w:hAnsi="Arial"/>
      <w:kern w:val="3"/>
      <w:sz w:val="20"/>
      <w:szCs w:val="20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tabs>
        <w:tab w:val="num" w:pos="360"/>
      </w:tabs>
      <w:ind w:left="720" w:firstLine="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Textbody">
    <w:name w:val="Text body"/>
    <w:basedOn w:val="Standard"/>
    <w:rsid w:val="003A7B5D"/>
    <w:pPr>
      <w:widowControl w:val="0"/>
      <w:suppressAutoHyphens/>
      <w:autoSpaceDN w:val="0"/>
      <w:spacing w:before="0" w:after="0" w:line="240" w:lineRule="auto"/>
    </w:pPr>
    <w:rPr>
      <w:rFonts w:ascii="Arial" w:hAnsi="Arial"/>
      <w:kern w:val="3"/>
      <w:sz w:val="20"/>
      <w:szCs w:val="20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2023-08-18T09:46:00Z</dcterms:created>
  <dcterms:modified xsi:type="dcterms:W3CDTF">2024-07-31T14:50:00Z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